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5C" w:rsidRPr="001B4442" w:rsidRDefault="001B4442">
      <w:pPr>
        <w:rPr>
          <w:rFonts w:ascii="Times New Roman" w:hAnsi="Times New Roman" w:cs="Times New Roman"/>
          <w:b/>
        </w:rPr>
      </w:pPr>
      <w:r w:rsidRPr="001B4442">
        <w:rPr>
          <w:rFonts w:ascii="Times New Roman" w:hAnsi="Times New Roman" w:cs="Times New Roman"/>
          <w:b/>
        </w:rPr>
        <w:t>ZP.272.</w:t>
      </w:r>
      <w:r w:rsidR="0091576C">
        <w:rPr>
          <w:rFonts w:ascii="Times New Roman" w:hAnsi="Times New Roman" w:cs="Times New Roman"/>
          <w:b/>
        </w:rPr>
        <w:t>13</w:t>
      </w:r>
      <w:r w:rsidRPr="001B4442">
        <w:rPr>
          <w:rFonts w:ascii="Times New Roman" w:hAnsi="Times New Roman" w:cs="Times New Roman"/>
          <w:b/>
        </w:rPr>
        <w:t>.2020</w:t>
      </w:r>
    </w:p>
    <w:p w:rsidR="003E138D" w:rsidRDefault="0013285C" w:rsidP="0013285C">
      <w:pPr>
        <w:tabs>
          <w:tab w:val="left" w:pos="3615"/>
        </w:tabs>
        <w:jc w:val="right"/>
        <w:rPr>
          <w:rFonts w:ascii="Times New Roman" w:hAnsi="Times New Roman" w:cs="Times New Roman"/>
        </w:rPr>
      </w:pPr>
      <w:r>
        <w:tab/>
      </w:r>
      <w:r w:rsidRPr="0013285C">
        <w:rPr>
          <w:rFonts w:ascii="Times New Roman" w:hAnsi="Times New Roman" w:cs="Times New Roman"/>
        </w:rPr>
        <w:t>1a Formularz techniczny oferowanego sprzętu</w:t>
      </w:r>
    </w:p>
    <w:p w:rsidR="0013285C" w:rsidRDefault="0013285C" w:rsidP="0013285C">
      <w:pPr>
        <w:tabs>
          <w:tab w:val="left" w:pos="3615"/>
        </w:tabs>
        <w:jc w:val="righ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3935"/>
      </w:tblGrid>
      <w:tr w:rsidR="0013285C" w:rsidRPr="0013285C" w:rsidTr="00D754E3">
        <w:trPr>
          <w:trHeight w:val="1500"/>
        </w:trPr>
        <w:tc>
          <w:tcPr>
            <w:tcW w:w="9288" w:type="dxa"/>
            <w:gridSpan w:val="3"/>
            <w:noWrap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 </w:t>
            </w:r>
          </w:p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handlowa oferowanego urządzenia:</w:t>
            </w:r>
            <w:r w:rsidRPr="0013285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13285C" w:rsidRPr="0013285C" w:rsidTr="00636C65">
        <w:trPr>
          <w:trHeight w:val="582"/>
        </w:trPr>
        <w:tc>
          <w:tcPr>
            <w:tcW w:w="959" w:type="dxa"/>
            <w:noWrap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  <w:b/>
                <w:bCs/>
              </w:rPr>
              <w:t>Opis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oferowanego urządzenia wymagania minimalne </w:t>
            </w:r>
          </w:p>
        </w:tc>
        <w:tc>
          <w:tcPr>
            <w:tcW w:w="3935" w:type="dxa"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  <w:b/>
                <w:bCs/>
              </w:rPr>
              <w:t>Potwierdzenie Wykonawcy: TAK</w:t>
            </w:r>
            <w:r w:rsidRPr="0013285C">
              <w:rPr>
                <w:rFonts w:ascii="Times New Roman" w:hAnsi="Times New Roman" w:cs="Times New Roman"/>
                <w:b/>
                <w:bCs/>
              </w:rPr>
              <w:br/>
              <w:t>lub opis parametrów lub funkcji oferowanych</w:t>
            </w:r>
            <w:r w:rsidRPr="0013285C">
              <w:rPr>
                <w:rFonts w:ascii="Times New Roman" w:hAnsi="Times New Roman" w:cs="Times New Roman"/>
                <w:b/>
                <w:bCs/>
              </w:rPr>
              <w:br/>
            </w:r>
            <w:r w:rsidRPr="0013285C">
              <w:rPr>
                <w:rFonts w:ascii="Times New Roman" w:hAnsi="Times New Roman" w:cs="Times New Roman"/>
              </w:rPr>
              <w:t>(wypełnia Wykonawca)</w:t>
            </w:r>
          </w:p>
        </w:tc>
      </w:tr>
      <w:tr w:rsidR="0013285C" w:rsidRPr="0013285C" w:rsidTr="00636C65">
        <w:trPr>
          <w:trHeight w:val="582"/>
        </w:trPr>
        <w:tc>
          <w:tcPr>
            <w:tcW w:w="959" w:type="dxa"/>
            <w:noWrap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Zintegrowany analizator typu PCR do szybkiej diagnostyki molekularnej</w:t>
            </w:r>
          </w:p>
        </w:tc>
        <w:tc>
          <w:tcPr>
            <w:tcW w:w="3935" w:type="dxa"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1200"/>
        </w:trPr>
        <w:tc>
          <w:tcPr>
            <w:tcW w:w="959" w:type="dxa"/>
            <w:noWrap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Sprzęt wraz z oprogramowaniem  umożliwiający ekstrakcję, archiwizację, amplifikację w czasie rzeczywistym materiału genetycznego w ramach jednego systemu.</w:t>
            </w:r>
          </w:p>
        </w:tc>
        <w:tc>
          <w:tcPr>
            <w:tcW w:w="3935" w:type="dxa"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900"/>
        </w:trPr>
        <w:tc>
          <w:tcPr>
            <w:tcW w:w="959" w:type="dxa"/>
            <w:noWrap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Sprzęt modułowy pozwalający na przeprowadzenie różnych oznaczeń w tym samym czasie na pokładzie tego samego analizatora.</w:t>
            </w:r>
          </w:p>
        </w:tc>
        <w:tc>
          <w:tcPr>
            <w:tcW w:w="3935" w:type="dxa"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300"/>
        </w:trPr>
        <w:tc>
          <w:tcPr>
            <w:tcW w:w="959" w:type="dxa"/>
            <w:noWrap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Wynik badania w przeciągu maksymalnie 2 godzin .</w:t>
            </w:r>
          </w:p>
        </w:tc>
        <w:tc>
          <w:tcPr>
            <w:tcW w:w="3935" w:type="dxa"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600"/>
        </w:trPr>
        <w:tc>
          <w:tcPr>
            <w:tcW w:w="959" w:type="dxa"/>
            <w:noWrap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System z możliwością końcowej automatycznej archiwizacji wyników.</w:t>
            </w:r>
          </w:p>
        </w:tc>
        <w:tc>
          <w:tcPr>
            <w:tcW w:w="3935" w:type="dxa"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1200"/>
        </w:trPr>
        <w:tc>
          <w:tcPr>
            <w:tcW w:w="959" w:type="dxa"/>
            <w:noWrap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PCR wyposażony w aktywne moduły reakcyjne w liczbie odpowiadającej liczbie wykonywanych badań - wymagane  2  moduły, z możliwością rozbudowy systemu do 4 modułów</w:t>
            </w:r>
          </w:p>
        </w:tc>
        <w:tc>
          <w:tcPr>
            <w:tcW w:w="3935" w:type="dxa"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1200"/>
        </w:trPr>
        <w:tc>
          <w:tcPr>
            <w:tcW w:w="959" w:type="dxa"/>
            <w:noWrap/>
            <w:hideMark/>
          </w:tcPr>
          <w:p w:rsidR="0013285C" w:rsidRPr="0013285C" w:rsidRDefault="00D4443F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hideMark/>
          </w:tcPr>
          <w:p w:rsidR="0013285C" w:rsidRPr="0013285C" w:rsidRDefault="0013285C" w:rsidP="0091576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System zapewniający zinteg</w:t>
            </w:r>
            <w:r w:rsidR="0091576C">
              <w:rPr>
                <w:rFonts w:ascii="Times New Roman" w:hAnsi="Times New Roman" w:cs="Times New Roman"/>
              </w:rPr>
              <w:t>r</w:t>
            </w:r>
            <w:r w:rsidRPr="0013285C">
              <w:rPr>
                <w:rFonts w:ascii="Times New Roman" w:hAnsi="Times New Roman" w:cs="Times New Roman"/>
              </w:rPr>
              <w:t>owaną izolację DNA, amplifikację i detekcję w jednym procesie bez konieczności przenoszenia próbki na pokładzie 1 analizatora.</w:t>
            </w:r>
          </w:p>
        </w:tc>
        <w:tc>
          <w:tcPr>
            <w:tcW w:w="3935" w:type="dxa"/>
            <w:noWrap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600"/>
        </w:trPr>
        <w:tc>
          <w:tcPr>
            <w:tcW w:w="959" w:type="dxa"/>
            <w:noWrap/>
            <w:hideMark/>
          </w:tcPr>
          <w:p w:rsidR="0013285C" w:rsidRPr="0013285C" w:rsidRDefault="00D4443F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System dający możliwość bezpośredniego badania próbki klinicznej bez wstępnej ekstrakcji DNA/RNA</w:t>
            </w:r>
          </w:p>
        </w:tc>
        <w:tc>
          <w:tcPr>
            <w:tcW w:w="3935" w:type="dxa"/>
            <w:noWrap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900"/>
        </w:trPr>
        <w:tc>
          <w:tcPr>
            <w:tcW w:w="959" w:type="dxa"/>
            <w:noWrap/>
            <w:hideMark/>
          </w:tcPr>
          <w:p w:rsidR="0013285C" w:rsidRPr="0013285C" w:rsidRDefault="00D4443F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System dający możliwość monitorowania przebiegu reakcji oraz oprogramowanie do interpretacji wyników</w:t>
            </w:r>
          </w:p>
        </w:tc>
        <w:tc>
          <w:tcPr>
            <w:tcW w:w="3935" w:type="dxa"/>
            <w:noWrap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600"/>
        </w:trPr>
        <w:tc>
          <w:tcPr>
            <w:tcW w:w="959" w:type="dxa"/>
            <w:noWrap/>
            <w:hideMark/>
          </w:tcPr>
          <w:p w:rsidR="0013285C" w:rsidRPr="0013285C" w:rsidRDefault="00D4443F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Aparat w pełni zautomatyzowany z możliwością wykonania nawet pojedynczej próbki</w:t>
            </w:r>
          </w:p>
        </w:tc>
        <w:tc>
          <w:tcPr>
            <w:tcW w:w="3935" w:type="dxa"/>
            <w:noWrap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600"/>
        </w:trPr>
        <w:tc>
          <w:tcPr>
            <w:tcW w:w="959" w:type="dxa"/>
            <w:noWrap/>
            <w:hideMark/>
          </w:tcPr>
          <w:p w:rsidR="0013285C" w:rsidRPr="0013285C" w:rsidRDefault="00D4443F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Zintegrowany system gwarantujący minimalizację ryzyka zakażenia pracowników laboratorium.</w:t>
            </w:r>
          </w:p>
        </w:tc>
        <w:tc>
          <w:tcPr>
            <w:tcW w:w="3935" w:type="dxa"/>
            <w:noWrap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289"/>
        </w:trPr>
        <w:tc>
          <w:tcPr>
            <w:tcW w:w="959" w:type="dxa"/>
            <w:noWrap/>
            <w:hideMark/>
          </w:tcPr>
          <w:p w:rsidR="0013285C" w:rsidRPr="0013285C" w:rsidRDefault="00D4443F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Wynik gotowy do interpretacji .</w:t>
            </w:r>
          </w:p>
        </w:tc>
        <w:tc>
          <w:tcPr>
            <w:tcW w:w="3935" w:type="dxa"/>
            <w:noWrap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300"/>
        </w:trPr>
        <w:tc>
          <w:tcPr>
            <w:tcW w:w="959" w:type="dxa"/>
            <w:noWrap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bCs/>
              </w:rPr>
            </w:pPr>
            <w:r w:rsidRPr="0013285C">
              <w:rPr>
                <w:rFonts w:ascii="Times New Roman" w:hAnsi="Times New Roman" w:cs="Times New Roman"/>
                <w:b/>
                <w:bCs/>
              </w:rPr>
              <w:t>Kartridże kompatybilne z analizatorem</w:t>
            </w:r>
          </w:p>
        </w:tc>
        <w:tc>
          <w:tcPr>
            <w:tcW w:w="3935" w:type="dxa"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285C" w:rsidRPr="0013285C" w:rsidTr="00636C65">
        <w:trPr>
          <w:trHeight w:val="2700"/>
        </w:trPr>
        <w:tc>
          <w:tcPr>
            <w:tcW w:w="959" w:type="dxa"/>
            <w:noWrap/>
            <w:hideMark/>
          </w:tcPr>
          <w:p w:rsidR="0013285C" w:rsidRPr="0013285C" w:rsidRDefault="00D4443F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Każdy kartridż składa się z poniższych składników: Komory przetwarzania – przechowują próbki, odczynniki, przetworzone próbki oraz odpady. Jedna z komór jest komorą powietrzną zaprojektowaną w celu wyrównywania ciśnienia wewnątrz kartridża. Układ zaworów –pozwala na przenoszenie płynów do różnych komór kartridża. Probówka reakcyjna – amplifikacja i detekcja powstałego produktu.</w:t>
            </w:r>
          </w:p>
        </w:tc>
        <w:tc>
          <w:tcPr>
            <w:tcW w:w="3935" w:type="dxa"/>
            <w:noWrap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900"/>
        </w:trPr>
        <w:tc>
          <w:tcPr>
            <w:tcW w:w="959" w:type="dxa"/>
            <w:noWrap/>
            <w:hideMark/>
          </w:tcPr>
          <w:p w:rsidR="0013285C" w:rsidRPr="0013285C" w:rsidRDefault="00D4443F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 xml:space="preserve">Kartridże do testów zakres przechowywania </w:t>
            </w:r>
            <w:r w:rsidR="0091576C">
              <w:rPr>
                <w:rFonts w:ascii="Times New Roman" w:hAnsi="Times New Roman" w:cs="Times New Roman"/>
              </w:rPr>
              <w:br/>
            </w:r>
            <w:bookmarkStart w:id="0" w:name="_GoBack"/>
            <w:bookmarkEnd w:id="0"/>
            <w:r w:rsidRPr="0013285C">
              <w:rPr>
                <w:rFonts w:ascii="Times New Roman" w:hAnsi="Times New Roman" w:cs="Times New Roman"/>
              </w:rPr>
              <w:t>w temperaturze 2-28</w:t>
            </w:r>
            <w:r w:rsidRPr="0013285C">
              <w:rPr>
                <w:rFonts w:ascii="Cambria Math" w:hAnsi="Cambria Math" w:cs="Cambria Math"/>
              </w:rPr>
              <w:t>⁰</w:t>
            </w:r>
            <w:r w:rsidRPr="0013285C">
              <w:rPr>
                <w:rFonts w:ascii="Times New Roman" w:hAnsi="Times New Roman" w:cs="Times New Roman"/>
              </w:rPr>
              <w:t xml:space="preserve">C, z wyjątkiem testu w kierunku </w:t>
            </w:r>
            <w:proofErr w:type="spellStart"/>
            <w:r w:rsidRPr="0013285C">
              <w:rPr>
                <w:rFonts w:ascii="Times New Roman" w:hAnsi="Times New Roman" w:cs="Times New Roman"/>
              </w:rPr>
              <w:t>norowirusa</w:t>
            </w:r>
            <w:proofErr w:type="spellEnd"/>
            <w:r w:rsidRPr="0013285C">
              <w:rPr>
                <w:rFonts w:ascii="Times New Roman" w:hAnsi="Times New Roman" w:cs="Times New Roman"/>
              </w:rPr>
              <w:t xml:space="preserve"> ( zakres 2-8</w:t>
            </w:r>
            <w:r w:rsidRPr="0013285C">
              <w:rPr>
                <w:rFonts w:ascii="Cambria Math" w:hAnsi="Cambria Math" w:cs="Cambria Math"/>
              </w:rPr>
              <w:t>⁰</w:t>
            </w:r>
            <w:r w:rsidRPr="0013285C">
              <w:rPr>
                <w:rFonts w:ascii="Times New Roman" w:hAnsi="Times New Roman" w:cs="Times New Roman"/>
              </w:rPr>
              <w:t>C).</w:t>
            </w:r>
          </w:p>
        </w:tc>
        <w:tc>
          <w:tcPr>
            <w:tcW w:w="3935" w:type="dxa"/>
            <w:noWrap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300"/>
        </w:trPr>
        <w:tc>
          <w:tcPr>
            <w:tcW w:w="959" w:type="dxa"/>
            <w:noWrap/>
            <w:hideMark/>
          </w:tcPr>
          <w:p w:rsidR="0013285C" w:rsidRPr="0013285C" w:rsidRDefault="00D4443F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Każdy kartridż zawiera kontrolę wewnętrzną.</w:t>
            </w:r>
          </w:p>
        </w:tc>
        <w:tc>
          <w:tcPr>
            <w:tcW w:w="3935" w:type="dxa"/>
            <w:noWrap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300"/>
        </w:trPr>
        <w:tc>
          <w:tcPr>
            <w:tcW w:w="959" w:type="dxa"/>
            <w:noWrap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bCs/>
              </w:rPr>
            </w:pPr>
            <w:r w:rsidRPr="0013285C">
              <w:rPr>
                <w:rFonts w:ascii="Times New Roman" w:hAnsi="Times New Roman" w:cs="Times New Roman"/>
                <w:b/>
                <w:bCs/>
              </w:rPr>
              <w:t>Testy możliwe do przeprowadzenia na analizatorze</w:t>
            </w:r>
          </w:p>
        </w:tc>
        <w:tc>
          <w:tcPr>
            <w:tcW w:w="3935" w:type="dxa"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285C" w:rsidRPr="0013285C" w:rsidTr="00636C65">
        <w:trPr>
          <w:trHeight w:val="900"/>
        </w:trPr>
        <w:tc>
          <w:tcPr>
            <w:tcW w:w="959" w:type="dxa"/>
            <w:noWrap/>
            <w:hideMark/>
          </w:tcPr>
          <w:p w:rsidR="0013285C" w:rsidRPr="0013285C" w:rsidRDefault="00D4443F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 xml:space="preserve">Wymagana odpowiednia ilość materiałów zużywalnych wraz z odczynnikami służącymi przygotowaniu materiału genetycznego. </w:t>
            </w:r>
          </w:p>
        </w:tc>
        <w:tc>
          <w:tcPr>
            <w:tcW w:w="3935" w:type="dxa"/>
            <w:noWrap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900"/>
        </w:trPr>
        <w:tc>
          <w:tcPr>
            <w:tcW w:w="959" w:type="dxa"/>
            <w:noWrap/>
            <w:hideMark/>
          </w:tcPr>
          <w:p w:rsidR="0013285C" w:rsidRPr="0013285C" w:rsidRDefault="00D4443F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 xml:space="preserve">Urządzenie wykorzystuje odczynniki tego samego producenta, fabrycznie </w:t>
            </w:r>
            <w:proofErr w:type="spellStart"/>
            <w:r w:rsidRPr="0013285C">
              <w:rPr>
                <w:rFonts w:ascii="Times New Roman" w:hAnsi="Times New Roman" w:cs="Times New Roman"/>
              </w:rPr>
              <w:t>rozporcjowane</w:t>
            </w:r>
            <w:proofErr w:type="spellEnd"/>
            <w:r w:rsidRPr="0013285C">
              <w:rPr>
                <w:rFonts w:ascii="Times New Roman" w:hAnsi="Times New Roman" w:cs="Times New Roman"/>
              </w:rPr>
              <w:t xml:space="preserve"> i zafoliowane (kartridże), opatrzone kodami 2D</w:t>
            </w:r>
          </w:p>
        </w:tc>
        <w:tc>
          <w:tcPr>
            <w:tcW w:w="3935" w:type="dxa"/>
            <w:noWrap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1200"/>
        </w:trPr>
        <w:tc>
          <w:tcPr>
            <w:tcW w:w="959" w:type="dxa"/>
            <w:noWrap/>
            <w:hideMark/>
          </w:tcPr>
          <w:p w:rsidR="0013285C" w:rsidRPr="0013285C" w:rsidRDefault="00D4443F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Kody umieszczone na odczynnikach są automatycznie odczytywane przez czytnik kodów 2D wewnątrz aparatu i weryfikowane przez oprogramowanie</w:t>
            </w:r>
          </w:p>
        </w:tc>
        <w:tc>
          <w:tcPr>
            <w:tcW w:w="3935" w:type="dxa"/>
            <w:noWrap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1200"/>
        </w:trPr>
        <w:tc>
          <w:tcPr>
            <w:tcW w:w="959" w:type="dxa"/>
            <w:noWrap/>
            <w:hideMark/>
          </w:tcPr>
          <w:p w:rsidR="0013285C" w:rsidRPr="0013285C" w:rsidRDefault="00D4443F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Numery lot odczynników oraz daty przydatności są automatycznie odczytywane z kodów 2D na opakowaniach oraz zapisywane w tworzonym przez urządzenie raporcie pracy</w:t>
            </w:r>
          </w:p>
        </w:tc>
        <w:tc>
          <w:tcPr>
            <w:tcW w:w="3935" w:type="dxa"/>
            <w:noWrap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2329"/>
        </w:trPr>
        <w:tc>
          <w:tcPr>
            <w:tcW w:w="959" w:type="dxa"/>
            <w:noWrap/>
            <w:hideMark/>
          </w:tcPr>
          <w:p w:rsidR="0013285C" w:rsidRPr="0013285C" w:rsidRDefault="00D4443F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Moduł reakcyjny jest wyposażony w:</w:t>
            </w:r>
            <w:r w:rsidRPr="0013285C">
              <w:rPr>
                <w:rFonts w:ascii="Times New Roman" w:hAnsi="Times New Roman" w:cs="Times New Roman"/>
              </w:rPr>
              <w:br/>
              <w:t>-Napęd zaworów – obraca układ zaworów kartridża i ustawia go odpowiednio w stosunku do komór kartridża.</w:t>
            </w:r>
            <w:r w:rsidRPr="0013285C">
              <w:rPr>
                <w:rFonts w:ascii="Times New Roman" w:hAnsi="Times New Roman" w:cs="Times New Roman"/>
              </w:rPr>
              <w:br/>
              <w:t>-Napęd pompy  – przepompowywanie płynów do różnych komór kartridża.</w:t>
            </w:r>
            <w:r w:rsidRPr="0013285C">
              <w:rPr>
                <w:rFonts w:ascii="Times New Roman" w:hAnsi="Times New Roman" w:cs="Times New Roman"/>
              </w:rPr>
              <w:br/>
              <w:t>-Moduł ultradźwiękowy – odpowiada za lizę próbki</w:t>
            </w:r>
            <w:r w:rsidRPr="0013285C">
              <w:rPr>
                <w:rFonts w:ascii="Times New Roman" w:hAnsi="Times New Roman" w:cs="Times New Roman"/>
              </w:rPr>
              <w:br/>
              <w:t>-Moduł główny– przeprowadza amplifikację i wykrywanie produktów PCR.</w:t>
            </w:r>
          </w:p>
        </w:tc>
        <w:tc>
          <w:tcPr>
            <w:tcW w:w="3935" w:type="dxa"/>
            <w:noWrap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300"/>
        </w:trPr>
        <w:tc>
          <w:tcPr>
            <w:tcW w:w="959" w:type="dxa"/>
            <w:noWrap/>
            <w:hideMark/>
          </w:tcPr>
          <w:p w:rsidR="0013285C" w:rsidRPr="0013285C" w:rsidRDefault="00D4443F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Stacja sterująca w postaci komputera przenośnego.</w:t>
            </w:r>
          </w:p>
        </w:tc>
        <w:tc>
          <w:tcPr>
            <w:tcW w:w="3935" w:type="dxa"/>
            <w:noWrap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300"/>
        </w:trPr>
        <w:tc>
          <w:tcPr>
            <w:tcW w:w="959" w:type="dxa"/>
            <w:noWrap/>
            <w:hideMark/>
          </w:tcPr>
          <w:p w:rsidR="0013285C" w:rsidRPr="0013285C" w:rsidRDefault="00D4443F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 xml:space="preserve">Czytnik </w:t>
            </w:r>
            <w:proofErr w:type="spellStart"/>
            <w:r w:rsidRPr="0013285C">
              <w:rPr>
                <w:rFonts w:ascii="Times New Roman" w:hAnsi="Times New Roman" w:cs="Times New Roman"/>
              </w:rPr>
              <w:t>barkodów</w:t>
            </w:r>
            <w:proofErr w:type="spellEnd"/>
            <w:r w:rsidRPr="001328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5" w:type="dxa"/>
            <w:noWrap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1500"/>
        </w:trPr>
        <w:tc>
          <w:tcPr>
            <w:tcW w:w="959" w:type="dxa"/>
            <w:noWrap/>
            <w:hideMark/>
          </w:tcPr>
          <w:p w:rsidR="0013285C" w:rsidRPr="0013285C" w:rsidRDefault="00D4443F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Oprogramowanie do monitorowania  reakcji, detekcji i analizy amplifikacji DNA w czasie rzeczywistym umożliwiające kontrolę systemu, zbieranie i przechowywanie danych oraz analizę wyników.</w:t>
            </w:r>
          </w:p>
        </w:tc>
        <w:tc>
          <w:tcPr>
            <w:tcW w:w="3935" w:type="dxa"/>
            <w:noWrap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  <w:tr w:rsidR="0013285C" w:rsidRPr="0013285C" w:rsidTr="00636C65">
        <w:trPr>
          <w:trHeight w:val="900"/>
        </w:trPr>
        <w:tc>
          <w:tcPr>
            <w:tcW w:w="959" w:type="dxa"/>
            <w:noWrap/>
            <w:hideMark/>
          </w:tcPr>
          <w:p w:rsidR="0013285C" w:rsidRPr="0013285C" w:rsidRDefault="00D4443F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94" w:type="dxa"/>
            <w:hideMark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 xml:space="preserve">Sprzęt spełniający wymagania dyrektywy 98/79/EC, </w:t>
            </w:r>
            <w:proofErr w:type="spellStart"/>
            <w:r w:rsidRPr="0013285C">
              <w:rPr>
                <w:rFonts w:ascii="Times New Roman" w:hAnsi="Times New Roman" w:cs="Times New Roman"/>
              </w:rPr>
              <w:t>zwalidowany</w:t>
            </w:r>
            <w:proofErr w:type="spellEnd"/>
            <w:r w:rsidRPr="0013285C">
              <w:rPr>
                <w:rFonts w:ascii="Times New Roman" w:hAnsi="Times New Roman" w:cs="Times New Roman"/>
              </w:rPr>
              <w:t xml:space="preserve"> i przeznaczony do diagnostyki in vitro (IVD)</w:t>
            </w:r>
          </w:p>
        </w:tc>
        <w:tc>
          <w:tcPr>
            <w:tcW w:w="3935" w:type="dxa"/>
          </w:tcPr>
          <w:p w:rsidR="0013285C" w:rsidRPr="0013285C" w:rsidRDefault="0013285C" w:rsidP="0013285C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</w:tbl>
    <w:p w:rsidR="0013285C" w:rsidRDefault="0013285C" w:rsidP="0013285C">
      <w:pPr>
        <w:tabs>
          <w:tab w:val="left" w:pos="3615"/>
        </w:tabs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04"/>
        <w:gridCol w:w="4341"/>
        <w:gridCol w:w="2943"/>
      </w:tblGrid>
      <w:tr w:rsidR="00636C65" w:rsidRPr="00D754E3" w:rsidTr="00636C65">
        <w:trPr>
          <w:trHeight w:val="300"/>
        </w:trPr>
        <w:tc>
          <w:tcPr>
            <w:tcW w:w="6345" w:type="dxa"/>
            <w:gridSpan w:val="2"/>
            <w:vAlign w:val="bottom"/>
            <w:hideMark/>
          </w:tcPr>
          <w:p w:rsidR="00636C65" w:rsidRPr="00636C65" w:rsidRDefault="00636C65" w:rsidP="00D754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636C65" w:rsidRPr="00636C65" w:rsidRDefault="00636C65" w:rsidP="00D754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36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PARAMETRY OCENIANE</w:t>
            </w:r>
          </w:p>
          <w:p w:rsidR="00636C65" w:rsidRPr="00636C65" w:rsidRDefault="00636C65" w:rsidP="00D754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43" w:type="dxa"/>
          </w:tcPr>
          <w:p w:rsidR="00636C65" w:rsidRPr="00636C65" w:rsidRDefault="00636C65" w:rsidP="00D75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636C65" w:rsidRPr="00636C65" w:rsidRDefault="00636C65" w:rsidP="00D754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36C6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wypełnia Wykonawca</w:t>
            </w:r>
          </w:p>
        </w:tc>
      </w:tr>
      <w:tr w:rsidR="00636C65" w:rsidRPr="00D754E3" w:rsidTr="00636C65">
        <w:trPr>
          <w:trHeight w:val="600"/>
        </w:trPr>
        <w:tc>
          <w:tcPr>
            <w:tcW w:w="2004" w:type="dxa"/>
            <w:hideMark/>
          </w:tcPr>
          <w:p w:rsidR="00636C65" w:rsidRPr="00636C65" w:rsidRDefault="00636C65" w:rsidP="00FE048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36C65">
              <w:rPr>
                <w:rFonts w:ascii="Times New Roman" w:eastAsia="Times New Roman" w:hAnsi="Times New Roman" w:cs="Times New Roman"/>
                <w:lang w:eastAsia="pl-PL"/>
              </w:rPr>
              <w:t>Parametry techniczne - Moduły reakcyjne działające niezależnie od siebie.</w:t>
            </w:r>
          </w:p>
        </w:tc>
        <w:tc>
          <w:tcPr>
            <w:tcW w:w="4341" w:type="dxa"/>
            <w:hideMark/>
          </w:tcPr>
          <w:p w:rsidR="00636C65" w:rsidRPr="00636C65" w:rsidRDefault="00636C65" w:rsidP="00FE048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TAK - 28 pkt            </w:t>
            </w:r>
          </w:p>
          <w:p w:rsidR="00636C65" w:rsidRPr="00636C65" w:rsidRDefault="00636C65" w:rsidP="00FE048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NIE - 0 pkt</w:t>
            </w:r>
          </w:p>
          <w:p w:rsidR="00636C65" w:rsidRPr="00636C65" w:rsidRDefault="00636C65" w:rsidP="00FE048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43" w:type="dxa"/>
          </w:tcPr>
          <w:p w:rsidR="00636C65" w:rsidRPr="00D754E3" w:rsidRDefault="00636C65" w:rsidP="00FE048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6C65" w:rsidRPr="00D754E3" w:rsidTr="00636C65">
        <w:trPr>
          <w:trHeight w:val="600"/>
        </w:trPr>
        <w:tc>
          <w:tcPr>
            <w:tcW w:w="2004" w:type="dxa"/>
          </w:tcPr>
          <w:p w:rsidR="00636C65" w:rsidRPr="00636C65" w:rsidRDefault="00636C65" w:rsidP="00FE048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36C65">
              <w:rPr>
                <w:rFonts w:ascii="Times New Roman" w:eastAsia="Times New Roman" w:hAnsi="Times New Roman" w:cs="Times New Roman"/>
                <w:lang w:eastAsia="pl-PL"/>
              </w:rPr>
              <w:t>Okres gwarancji:</w:t>
            </w:r>
          </w:p>
        </w:tc>
        <w:tc>
          <w:tcPr>
            <w:tcW w:w="4341" w:type="dxa"/>
          </w:tcPr>
          <w:p w:rsidR="00636C65" w:rsidRPr="00636C65" w:rsidRDefault="00636C65" w:rsidP="004E2C5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Zakres:</w:t>
            </w:r>
          </w:p>
          <w:p w:rsidR="00636C65" w:rsidRPr="00636C65" w:rsidRDefault="00636C65" w:rsidP="004E2C5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miesięcy 0 punktów</w:t>
            </w:r>
          </w:p>
          <w:p w:rsidR="00636C65" w:rsidRPr="00636C65" w:rsidRDefault="00636C65" w:rsidP="004E2C5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miesięcy 1 punkt</w:t>
            </w:r>
          </w:p>
          <w:p w:rsidR="00636C65" w:rsidRPr="00636C65" w:rsidRDefault="00636C65" w:rsidP="004E2C5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miesięcy 2 punkty</w:t>
            </w:r>
          </w:p>
          <w:p w:rsidR="00636C65" w:rsidRPr="00636C65" w:rsidRDefault="00636C65" w:rsidP="004E2C5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miesięcy 3 punkty</w:t>
            </w:r>
          </w:p>
          <w:p w:rsidR="00636C65" w:rsidRPr="00636C65" w:rsidRDefault="00636C65" w:rsidP="004E2C5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miesięcy 4 punkty</w:t>
            </w:r>
          </w:p>
          <w:p w:rsidR="00636C65" w:rsidRPr="00636C65" w:rsidRDefault="00636C65" w:rsidP="004E2C5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miesięcy 5 punktów</w:t>
            </w:r>
          </w:p>
          <w:p w:rsidR="00636C65" w:rsidRPr="00636C65" w:rsidRDefault="00636C65" w:rsidP="004E2C5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miesięcy 6 punktów</w:t>
            </w:r>
          </w:p>
          <w:p w:rsidR="00636C65" w:rsidRPr="00636C65" w:rsidRDefault="00636C65" w:rsidP="004E2C5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 miesięcy 7 punktów</w:t>
            </w:r>
          </w:p>
          <w:p w:rsidR="00636C65" w:rsidRPr="00636C65" w:rsidRDefault="00636C65" w:rsidP="004E2C5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miesięcy 8 punktów</w:t>
            </w:r>
          </w:p>
          <w:p w:rsidR="00636C65" w:rsidRPr="00636C65" w:rsidRDefault="00907B17" w:rsidP="004E2C5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 miesiące</w:t>
            </w:r>
            <w:r w:rsidR="00636C65" w:rsidRPr="0063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9 punktów</w:t>
            </w:r>
          </w:p>
          <w:p w:rsidR="00636C65" w:rsidRPr="00636C65" w:rsidRDefault="00907B17" w:rsidP="004E2C5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 miesiące</w:t>
            </w:r>
            <w:r w:rsidR="00636C65" w:rsidRPr="0063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10 punktów</w:t>
            </w:r>
          </w:p>
          <w:p w:rsidR="00636C65" w:rsidRPr="00636C65" w:rsidRDefault="00907B17" w:rsidP="004E2C5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 miesiące</w:t>
            </w:r>
            <w:r w:rsidR="00636C65" w:rsidRPr="0063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11 punktów</w:t>
            </w:r>
          </w:p>
          <w:p w:rsidR="00636C65" w:rsidRPr="00636C65" w:rsidRDefault="00907B17" w:rsidP="004E2C5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 miesiące</w:t>
            </w:r>
            <w:r w:rsidR="00636C65" w:rsidRPr="0063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12 punktów</w:t>
            </w:r>
          </w:p>
          <w:p w:rsidR="00636C65" w:rsidRPr="00636C65" w:rsidRDefault="00636C65" w:rsidP="00FE048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C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Powyżej 24 miesięcy 12 punktów.</w:t>
            </w:r>
          </w:p>
        </w:tc>
        <w:tc>
          <w:tcPr>
            <w:tcW w:w="2943" w:type="dxa"/>
          </w:tcPr>
          <w:p w:rsidR="00636C65" w:rsidRPr="00D754E3" w:rsidRDefault="00636C65" w:rsidP="00FE048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EC4782" w:rsidRDefault="00EC4782" w:rsidP="0013285C">
      <w:pPr>
        <w:tabs>
          <w:tab w:val="left" w:pos="3615"/>
        </w:tabs>
        <w:rPr>
          <w:rFonts w:ascii="Times New Roman" w:hAnsi="Times New Roman" w:cs="Times New Roman"/>
        </w:rPr>
      </w:pPr>
    </w:p>
    <w:p w:rsidR="00EC4782" w:rsidRPr="00EC4782" w:rsidRDefault="00EC4782" w:rsidP="00EC4782">
      <w:pPr>
        <w:rPr>
          <w:rFonts w:ascii="Times New Roman" w:hAnsi="Times New Roman" w:cs="Times New Roman"/>
        </w:rPr>
      </w:pPr>
    </w:p>
    <w:p w:rsidR="00EC4782" w:rsidRDefault="00EC4782" w:rsidP="00EC4782">
      <w:pPr>
        <w:rPr>
          <w:rFonts w:ascii="Times New Roman" w:hAnsi="Times New Roman" w:cs="Times New Roman"/>
        </w:rPr>
      </w:pPr>
    </w:p>
    <w:p w:rsidR="00D754E3" w:rsidRDefault="00EC4782" w:rsidP="00EC4782">
      <w:pPr>
        <w:tabs>
          <w:tab w:val="left" w:pos="59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</w:t>
      </w:r>
    </w:p>
    <w:p w:rsidR="00EC4782" w:rsidRPr="00EC4782" w:rsidRDefault="00EC4782" w:rsidP="00EC4782">
      <w:pPr>
        <w:tabs>
          <w:tab w:val="left" w:pos="59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(data i podpis Wykonawcy)</w:t>
      </w:r>
    </w:p>
    <w:sectPr w:rsidR="00EC4782" w:rsidRPr="00EC47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EE7" w:rsidRDefault="003F2EE7" w:rsidP="00CB439B">
      <w:pPr>
        <w:spacing w:after="0" w:line="240" w:lineRule="auto"/>
      </w:pPr>
      <w:r>
        <w:separator/>
      </w:r>
    </w:p>
  </w:endnote>
  <w:endnote w:type="continuationSeparator" w:id="0">
    <w:p w:rsidR="003F2EE7" w:rsidRDefault="003F2EE7" w:rsidP="00CB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EE7" w:rsidRDefault="003F2EE7" w:rsidP="00CB439B">
      <w:pPr>
        <w:spacing w:after="0" w:line="240" w:lineRule="auto"/>
      </w:pPr>
      <w:r>
        <w:separator/>
      </w:r>
    </w:p>
  </w:footnote>
  <w:footnote w:type="continuationSeparator" w:id="0">
    <w:p w:rsidR="003F2EE7" w:rsidRDefault="003F2EE7" w:rsidP="00CB4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7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17"/>
      <w:gridCol w:w="2628"/>
      <w:gridCol w:w="2013"/>
      <w:gridCol w:w="2554"/>
    </w:tblGrid>
    <w:tr w:rsidR="00CB439B" w:rsidRPr="00B269B1" w:rsidTr="000E454E">
      <w:trPr>
        <w:trHeight w:val="763"/>
      </w:trPr>
      <w:tc>
        <w:tcPr>
          <w:tcW w:w="1008" w:type="pct"/>
          <w:tcMar>
            <w:left w:w="0" w:type="dxa"/>
            <w:right w:w="0" w:type="dxa"/>
          </w:tcMar>
        </w:tcPr>
        <w:p w:rsidR="00CB439B" w:rsidRPr="00B269B1" w:rsidRDefault="00CB439B" w:rsidP="000E454E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FE19E70" wp14:editId="4D881830">
                <wp:extent cx="10287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8" w:type="pct"/>
          <w:tcMar>
            <w:left w:w="0" w:type="dxa"/>
            <w:right w:w="0" w:type="dxa"/>
          </w:tcMar>
        </w:tcPr>
        <w:p w:rsidR="00CB439B" w:rsidRPr="00B269B1" w:rsidRDefault="00CB439B" w:rsidP="000E454E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914C526" wp14:editId="2CDC293C">
                <wp:extent cx="14097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" w:type="pct"/>
          <w:tcMar>
            <w:left w:w="0" w:type="dxa"/>
            <w:right w:w="0" w:type="dxa"/>
          </w:tcMar>
        </w:tcPr>
        <w:p w:rsidR="00CB439B" w:rsidRPr="00B269B1" w:rsidRDefault="00CB439B" w:rsidP="000E454E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526A1F7" wp14:editId="062038EE">
                <wp:extent cx="9620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pct"/>
          <w:tcMar>
            <w:left w:w="0" w:type="dxa"/>
            <w:right w:w="0" w:type="dxa"/>
          </w:tcMar>
        </w:tcPr>
        <w:p w:rsidR="00CB439B" w:rsidRPr="00B269B1" w:rsidRDefault="00CB439B" w:rsidP="000E454E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D34BEC8" wp14:editId="0B87BA9A">
                <wp:extent cx="1476375" cy="45720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439B" w:rsidRPr="00CB439B" w:rsidRDefault="00CB439B" w:rsidP="00CB439B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b/>
        <w:bCs/>
      </w:rPr>
    </w:pPr>
    <w:r w:rsidRPr="00CB439B">
      <w:rPr>
        <w:rFonts w:ascii="Times New Roman" w:eastAsia="Calibri" w:hAnsi="Times New Roman" w:cs="Times New Roman"/>
        <w:b/>
        <w:bCs/>
      </w:rPr>
      <w:t>Projekt pn: „Walka z epidemią COVID-19 na terenie Powiatu Starachowickiego”</w:t>
    </w:r>
  </w:p>
  <w:p w:rsidR="00CB439B" w:rsidRPr="00CB439B" w:rsidRDefault="00CB439B" w:rsidP="00CB439B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b/>
        <w:bCs/>
      </w:rPr>
    </w:pPr>
    <w:r w:rsidRPr="00CB439B">
      <w:rPr>
        <w:rFonts w:ascii="Times New Roman" w:eastAsia="Calibri" w:hAnsi="Times New Roman" w:cs="Times New Roman"/>
        <w:b/>
        <w:bCs/>
      </w:rPr>
      <w:t xml:space="preserve"> jest współfinansowany ze środków Unii Europejskiej w ramach Europejskiego Funduszu Społecznego</w:t>
    </w:r>
  </w:p>
  <w:p w:rsidR="00CB439B" w:rsidRDefault="00CB4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4B"/>
    <w:rsid w:val="0013285C"/>
    <w:rsid w:val="001B4442"/>
    <w:rsid w:val="001F334B"/>
    <w:rsid w:val="003C7A30"/>
    <w:rsid w:val="003E138D"/>
    <w:rsid w:val="003F2EE7"/>
    <w:rsid w:val="0048498D"/>
    <w:rsid w:val="004E2C55"/>
    <w:rsid w:val="005960D6"/>
    <w:rsid w:val="00636C65"/>
    <w:rsid w:val="007C702A"/>
    <w:rsid w:val="009072FF"/>
    <w:rsid w:val="00907B17"/>
    <w:rsid w:val="0091576C"/>
    <w:rsid w:val="00A00A1F"/>
    <w:rsid w:val="00A9430A"/>
    <w:rsid w:val="00B4218D"/>
    <w:rsid w:val="00CB439B"/>
    <w:rsid w:val="00D4443F"/>
    <w:rsid w:val="00D754E3"/>
    <w:rsid w:val="00DD0DDF"/>
    <w:rsid w:val="00EC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4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39B"/>
  </w:style>
  <w:style w:type="paragraph" w:styleId="Stopka">
    <w:name w:val="footer"/>
    <w:basedOn w:val="Normalny"/>
    <w:link w:val="StopkaZnak"/>
    <w:uiPriority w:val="99"/>
    <w:unhideWhenUsed/>
    <w:rsid w:val="00CB4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39B"/>
  </w:style>
  <w:style w:type="paragraph" w:styleId="Tekstdymka">
    <w:name w:val="Balloon Text"/>
    <w:basedOn w:val="Normalny"/>
    <w:link w:val="TekstdymkaZnak"/>
    <w:uiPriority w:val="99"/>
    <w:semiHidden/>
    <w:unhideWhenUsed/>
    <w:rsid w:val="00CB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3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32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4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39B"/>
  </w:style>
  <w:style w:type="paragraph" w:styleId="Stopka">
    <w:name w:val="footer"/>
    <w:basedOn w:val="Normalny"/>
    <w:link w:val="StopkaZnak"/>
    <w:uiPriority w:val="99"/>
    <w:unhideWhenUsed/>
    <w:rsid w:val="00CB4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39B"/>
  </w:style>
  <w:style w:type="paragraph" w:styleId="Tekstdymka">
    <w:name w:val="Balloon Text"/>
    <w:basedOn w:val="Normalny"/>
    <w:link w:val="TekstdymkaZnak"/>
    <w:uiPriority w:val="99"/>
    <w:semiHidden/>
    <w:unhideWhenUsed/>
    <w:rsid w:val="00CB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3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32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 Suszczewicz</dc:creator>
  <cp:keywords/>
  <dc:description/>
  <cp:lastModifiedBy>SP w Starachowicach</cp:lastModifiedBy>
  <cp:revision>14</cp:revision>
  <cp:lastPrinted>2020-08-04T08:30:00Z</cp:lastPrinted>
  <dcterms:created xsi:type="dcterms:W3CDTF">2020-07-23T08:48:00Z</dcterms:created>
  <dcterms:modified xsi:type="dcterms:W3CDTF">2020-11-24T09:30:00Z</dcterms:modified>
</cp:coreProperties>
</file>