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/>
        <w:tab/>
      </w:r>
      <w:r>
        <w:rPr>
          <w:rFonts w:ascii="Cambria" w:hAnsi="Cambria" w:asciiTheme="majorHAnsi" w:hAnsiTheme="majorHAnsi"/>
        </w:rPr>
        <w:t>Załącznik Nr 3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/>
      </w:pPr>
      <w:r>
        <w:rPr>
          <w:rFonts w:ascii="Cambria" w:hAnsi="Cambria" w:asciiTheme="majorHAnsi" w:hAnsiTheme="majorHAnsi"/>
        </w:rPr>
        <w:tab/>
        <w:t xml:space="preserve">do Zarządzenia Nr  </w:t>
      </w:r>
      <w:r>
        <w:rPr>
          <w:rFonts w:ascii="Cambria" w:hAnsi="Cambria" w:asciiTheme="majorHAnsi" w:hAnsiTheme="majorHAnsi"/>
        </w:rPr>
        <w:t>13</w:t>
      </w:r>
      <w:r>
        <w:rPr>
          <w:rFonts w:ascii="Cambria" w:hAnsi="Cambria" w:asciiTheme="majorHAnsi" w:hAnsiTheme="majorHAnsi"/>
        </w:rPr>
        <w:t>/2021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>Starosty Starachowickiego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 xml:space="preserve">z dnia  </w:t>
      </w:r>
      <w:r>
        <w:rPr>
          <w:rFonts w:ascii="Cambria" w:hAnsi="Cambria" w:asciiTheme="majorHAnsi" w:hAnsiTheme="majorHAnsi"/>
        </w:rPr>
        <w:t xml:space="preserve">5 </w:t>
      </w:r>
      <w:r>
        <w:rPr>
          <w:rFonts w:ascii="Cambria" w:hAnsi="Cambria" w:asciiTheme="majorHAnsi" w:hAnsiTheme="majorHAnsi"/>
        </w:rPr>
        <w:t>lutego 2021 r.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Wyliczenie rocznej struktury sprzedaży za rok 2020 zgodnie z art. 90 Ustawy o podatku od towarów i usług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eastAsia="" w:asciiTheme="majorHAnsi" w:eastAsiaTheme="minorEastAsia" w:hAnsiTheme="majorHAns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wskaźnik</m:t>
        </m:r>
        <m:r>
          <w:rPr>
            <w:rFonts w:ascii="Cambria Math" w:hAnsi="Cambria Math"/>
          </w:rPr>
          <m:t xml:space="preserve">proporcji</m:t>
        </m:r>
        <m:r>
          <w:rPr>
            <w:rFonts w:ascii="Cambria Math" w:hAnsi="Cambria Math"/>
          </w:rPr>
          <m:t xml:space="preserve">VAT</m:t>
        </m:r>
        <m:r>
          <w:rPr>
            <w:rFonts w:ascii="Cambria Math" w:hAnsi="Cambria Math"/>
          </w:rPr>
          <m:t xml:space="preserve">za</m:t>
        </m:r>
        <m:r>
          <w:rPr>
            <w:rFonts w:ascii="Cambria Math" w:hAnsi="Cambria Math"/>
          </w:rPr>
          <m:t xml:space="preserve">2020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sprzedaż</m:t>
            </m:r>
            <m:r>
              <w:rPr>
                <w:rFonts w:ascii="Cambria Math" w:hAnsi="Cambria Math"/>
              </w:rPr>
              <m:t xml:space="preserve">opodatkowana</m:t>
            </m:r>
          </m:num>
          <m:den>
            <m:r>
              <w:rPr>
                <w:rFonts w:ascii="Cambria Math" w:hAnsi="Cambria Math"/>
              </w:rPr>
              <m:t xml:space="preserve">sprzedaż</m:t>
            </m:r>
            <m:r>
              <w:rPr>
                <w:rFonts w:ascii="Cambria Math" w:hAnsi="Cambria Math"/>
              </w:rPr>
              <m:t xml:space="preserve">opodatkowana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zwolniona</m:t>
            </m:r>
          </m:den>
        </m:f>
      </m:oMath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eastAsia="" w:asciiTheme="majorHAnsi" w:eastAsiaTheme="minorEastAsia" w:hAnsiTheme="majorHAnsi"/>
        </w:rPr>
      </w:pPr>
      <w:r>
        <w:rPr>
          <w:rFonts w:eastAsia="" w:eastAsiaTheme="minorEastAsia" w:ascii="Cambria" w:hAnsi="Cambria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asciiTheme="majorHAnsi" w:hAnsiTheme="majorHAns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23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≈</m:t>
        </m:r>
        <m:r>
          <w:rPr>
            <w:rFonts w:ascii="Cambria Math" w:hAnsi="Cambria Math"/>
          </w:rPr>
          <m:t xml:space="preserve">22,12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803</m:t>
            </m:r>
            <m:r>
              <w:rPr>
                <w:rFonts w:ascii="Cambria Math" w:hAnsi="Cambria Math"/>
              </w:rPr>
              <m:t xml:space="preserve">974,52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633</m:t>
            </m:r>
            <m:r>
              <w:rPr>
                <w:rFonts w:ascii="Cambria Math" w:hAnsi="Cambria Math"/>
              </w:rPr>
              <m:t xml:space="preserve">895,02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100</m:t>
            </m:r>
          </m:den>
        </m:f>
      </m:oMath>
    </w:p>
    <w:p>
      <w:pPr>
        <w:pStyle w:val="Normal"/>
        <w:tabs>
          <w:tab w:val="clear" w:pos="708"/>
          <w:tab w:val="left" w:pos="8931" w:leader="none"/>
        </w:tabs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Wyliczenie proporcji w obsługującym jednostkę samorządu terytorialnego urzędzie</w:t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eastAsia="" w:asciiTheme="majorHAnsi" w:eastAsiaTheme="minorEastAsia" w:hAnsiTheme="majorHAnsi"/>
        </w:rPr>
      </w:pPr>
      <w:bookmarkStart w:id="0" w:name="_GoBack"/>
      <w:bookmarkEnd w:id="0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prewskaźnik</m:t>
        </m:r>
        <m:r>
          <w:rPr>
            <w:rFonts w:ascii="Cambria Math" w:hAnsi="Cambria Math"/>
          </w:rPr>
          <m:t xml:space="preserve">VAT</m:t>
        </m:r>
        <m:r>
          <w:rPr>
            <w:rFonts w:ascii="Cambria Math" w:hAnsi="Cambria Math"/>
          </w:rPr>
          <m:t xml:space="preserve">za</m:t>
        </m:r>
        <m:r>
          <w:rPr>
            <w:rFonts w:ascii="Cambria Math" w:hAnsi="Cambria Math"/>
          </w:rPr>
          <m:t xml:space="preserve">2019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sprzedaż</m:t>
            </m:r>
            <m:r>
              <w:rPr>
                <w:rFonts w:ascii="Cambria Math" w:hAnsi="Cambria Math"/>
              </w:rPr>
              <m:t xml:space="preserve">opodatkowana</m:t>
            </m:r>
            <m:r>
              <w:rPr>
                <w:rFonts w:ascii="Cambria Math" w:hAnsi="Cambria Math"/>
              </w:rPr>
              <m:t xml:space="preserve">roczny</m:t>
            </m:r>
            <m:r>
              <w:rPr>
                <w:rFonts w:ascii="Cambria Math" w:hAnsi="Cambria Math"/>
              </w:rPr>
              <m:t xml:space="preserve">obrót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działalności</m:t>
            </m:r>
            <m:r>
              <w:rPr>
                <w:rFonts w:ascii="Cambria Math" w:hAnsi="Cambria Math"/>
              </w:rPr>
              <m:t xml:space="preserve">gospodarczej</m:t>
            </m:r>
          </m:num>
          <m:den>
            <m:r>
              <w:rPr>
                <w:rFonts w:ascii="Cambria Math" w:hAnsi="Cambria Math"/>
              </w:rPr>
              <m:t xml:space="preserve">dochody</m:t>
            </m:r>
            <m:r>
              <w:rPr>
                <w:rFonts w:ascii="Cambria Math" w:hAnsi="Cambria Math"/>
              </w:rPr>
              <m:t xml:space="preserve">wykonane</m:t>
            </m:r>
            <m:r>
              <w:rPr>
                <w:rFonts w:ascii="Cambria Math" w:hAnsi="Cambria Math"/>
              </w:rPr>
              <m:t xml:space="preserve">urzędu</m:t>
            </m:r>
            <m:r>
              <w:rPr>
                <w:rFonts w:ascii="Cambria Math" w:hAnsi="Cambria Math"/>
              </w:rPr>
              <m:t xml:space="preserve">obsługującego</m:t>
            </m:r>
            <m:r>
              <w:rPr>
                <w:rFonts w:ascii="Cambria Math" w:hAnsi="Cambria Math"/>
              </w:rPr>
              <m:t xml:space="preserve">jst</m:t>
            </m:r>
          </m:den>
        </m:f>
        <m:r>
          <w:rPr>
            <w:rFonts w:ascii="Cambria Math" w:hAnsi="Cambria Math"/>
          </w:rPr>
          <m:t xml:space="preserve">∗</m:t>
        </m:r>
        <m:r>
          <w:rPr>
            <w:rFonts w:ascii="Cambria Math" w:hAnsi="Cambria Math"/>
          </w:rPr>
          <m:t xml:space="preserve">100</m:t>
        </m:r>
      </m:oMath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eastAsia="" w:asciiTheme="majorHAnsi" w:eastAsiaTheme="minorEastAsia" w:hAnsiTheme="majorHAnsi"/>
        </w:rPr>
      </w:pPr>
      <w:r>
        <w:rPr>
          <w:rFonts w:eastAsia="" w:eastAsiaTheme="minorEastAsia" w:ascii="Cambria" w:hAnsi="Cambria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center"/>
        <w:rPr>
          <w:rFonts w:ascii="Cambria" w:hAnsi="Cambria" w:asciiTheme="majorHAnsi" w:hAnsiTheme="majorHAns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≈</m:t>
        </m:r>
        <m:r>
          <w:rPr>
            <w:rFonts w:ascii="Cambria Math" w:hAnsi="Cambria Math"/>
          </w:rPr>
          <m:t xml:space="preserve">5,</m:t>
        </m:r>
        <m:r>
          <w:rPr>
            <w:rFonts w:ascii="Cambria Math" w:hAnsi="Cambria Math"/>
          </w:rPr>
          <m:t xml:space="preserve">94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312</m:t>
            </m:r>
            <m:r>
              <w:rPr>
                <w:rFonts w:ascii="Cambria Math" w:hAnsi="Cambria Math"/>
              </w:rPr>
              <m:t xml:space="preserve">929,06</m:t>
            </m:r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265</m:t>
            </m:r>
            <m:r>
              <w:rPr>
                <w:rFonts w:ascii="Cambria Math" w:hAnsi="Cambria Math"/>
              </w:rPr>
              <m:t xml:space="preserve">886,96</m:t>
            </m:r>
          </m:den>
        </m:f>
        <m:r>
          <w:rPr>
            <w:rFonts w:ascii="Cambria Math" w:hAnsi="Cambria Math"/>
          </w:rPr>
          <m:t xml:space="preserve">∗</m:t>
        </m:r>
        <m:r>
          <w:rPr>
            <w:rFonts w:ascii="Cambria Math" w:hAnsi="Cambria Math"/>
          </w:rPr>
          <m:t xml:space="preserve">100</m:t>
        </m:r>
      </m:oMath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Wyliczenie proporcji przy zastosowaniu rocznej struktury sprzedaży za 2020 rok oraz proporcji za 2019 rok do wstępnego stosowania w 2021 roku</w:t>
      </w:r>
    </w:p>
    <w:p>
      <w:pPr>
        <w:pStyle w:val="Normal"/>
        <w:tabs>
          <w:tab w:val="clear" w:pos="708"/>
          <w:tab w:val="left" w:pos="8931" w:leader="none"/>
        </w:tabs>
        <w:spacing w:before="0" w:after="200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1,38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%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23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%</m:t>
            </m:r>
          </m:num>
          <m:den>
            <m:r>
              <w:rPr>
                <w:rFonts w:ascii="Cambria Math" w:hAnsi="Cambria Math"/>
              </w:rPr>
              <m:t xml:space="preserve">100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%</m:t>
            </m:r>
          </m:den>
        </m:f>
      </m:oMath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3c6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3c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LibreOffice/6.1.2.1$Windows_x86 LibreOffice_project/65905a128db06ba48db947242809d14d3f9a93fe</Application>
  <Pages>1</Pages>
  <Words>62</Words>
  <Characters>356</Characters>
  <CharactersWithSpaces>418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2021-02-05T11:25:00Z</dcterms:created>
  <dc:creator>SP w Starachowicach</dc:creator>
  <dc:description/>
  <dc:language>pl-PL</dc:language>
  <cp:lastModifiedBy/>
  <cp:lastPrinted>2021-02-05T12:34:00Z</cp:lastPrinted>
  <dcterms:modified xsi:type="dcterms:W3CDTF">2021-02-11T11:30:32Z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